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Customer Complaint &amp; Escalation SOP</w:t>
      </w:r>
    </w:p>
    <w:p>
      <w:r>
        <w:t>STANDARD OPERATING PROCEDURE  |  Project 05  |  Version 1.0  |  October 2026</w:t>
      </w:r>
    </w:p>
    <w:p>
      <w:r>
        <w:t>Prepared as a portfolio demonstration of customer experience operations, escalation ownership, and process governance.</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Document control</w:t>
            </w:r>
          </w:p>
        </w:tc>
        <w:tc>
          <w:tcPr>
            <w:tcW w:type="dxa" w:w="4320"/>
          </w:tcPr>
          <w:p>
            <w:r>
              <w:t>Details</w:t>
            </w:r>
          </w:p>
        </w:tc>
      </w:tr>
      <w:tr>
        <w:tc>
          <w:tcPr>
            <w:tcW w:type="dxa" w:w="4320"/>
          </w:tcPr>
          <w:p>
            <w:r>
              <w:t>Process owner</w:t>
            </w:r>
          </w:p>
        </w:tc>
        <w:tc>
          <w:tcPr>
            <w:tcW w:type="dxa" w:w="4320"/>
          </w:tcPr>
          <w:p>
            <w:r>
              <w:t>Customer Support Operations</w:t>
            </w:r>
          </w:p>
        </w:tc>
      </w:tr>
      <w:tr>
        <w:tc>
          <w:tcPr>
            <w:tcW w:type="dxa" w:w="4320"/>
          </w:tcPr>
          <w:p>
            <w:r>
              <w:t>Audience</w:t>
            </w:r>
          </w:p>
        </w:tc>
        <w:tc>
          <w:tcPr>
            <w:tcW w:type="dxa" w:w="4320"/>
          </w:tcPr>
          <w:p>
            <w:r>
              <w:t>Frontline agents, SMEs, team leaders, quality analysts, operations managers</w:t>
            </w:r>
          </w:p>
        </w:tc>
      </w:tr>
      <w:tr>
        <w:tc>
          <w:tcPr>
            <w:tcW w:type="dxa" w:w="4320"/>
          </w:tcPr>
          <w:p>
            <w:r>
              <w:t>Review cadence</w:t>
            </w:r>
          </w:p>
        </w:tc>
        <w:tc>
          <w:tcPr>
            <w:tcW w:type="dxa" w:w="4320"/>
          </w:tcPr>
          <w:p>
            <w:r>
              <w:t>Quarterly and after material process changes</w:t>
            </w:r>
          </w:p>
        </w:tc>
      </w:tr>
      <w:tr>
        <w:tc>
          <w:tcPr>
            <w:tcW w:type="dxa" w:w="4320"/>
          </w:tcPr>
          <w:p>
            <w:r>
              <w:t>Classification</w:t>
            </w:r>
          </w:p>
        </w:tc>
        <w:tc>
          <w:tcPr>
            <w:tcW w:type="dxa" w:w="4320"/>
          </w:tcPr>
          <w:p>
            <w:r>
              <w:t>Illustrative template; adapt to actual policy, legal obligations, and SLAs</w:t>
            </w:r>
          </w:p>
        </w:tc>
      </w:tr>
    </w:tbl>
    <w:p>
      <w:pPr>
        <w:pStyle w:val="Heading1"/>
      </w:pPr>
      <w:r>
        <w:t>1. Purpose and intended outcomes</w:t>
      </w:r>
    </w:p>
    <w:p>
      <w:r>
        <w:t>Provide a consistent, auditable method to receive, assess, investigate, resolve, and learn from customer complaints across phone, email, and chat. The procedure emphasizes clear ownership, accurate communication, fair decisions, and timely follow-through.</w:t>
      </w:r>
    </w:p>
    <w:p>
      <w:pPr>
        <w:pStyle w:val="Heading1"/>
      </w:pPr>
      <w:r>
        <w:t>2. Scope</w:t>
      </w:r>
    </w:p>
    <w:p>
      <w:r>
        <w:t>Applies to billing disputes, service failures, unmet expectations, repeated contacts, product or technical issues, and requests requiring specialist or leadership intervention. Security incidents, threats of harm, regulatory complaints, and legal demands must follow the organization’s dedicated critical-incident procedures where applicable.</w:t>
      </w:r>
    </w:p>
    <w:p>
      <w:pPr>
        <w:pStyle w:val="Heading1"/>
      </w:pPr>
      <w:r>
        <w:t>3. Guiding principles</w:t>
      </w:r>
    </w:p>
    <w:p>
      <w:pPr>
        <w:pStyle w:val="ListBullet"/>
      </w:pPr>
      <w:r>
        <w:t>Listen without interruption and acknowledge the customer’s concern.</w:t>
      </w:r>
    </w:p>
    <w:p>
      <w:pPr>
        <w:pStyle w:val="ListBullet"/>
      </w:pPr>
      <w:r>
        <w:t>Verify identity before disclosing account-specific information.</w:t>
      </w:r>
    </w:p>
    <w:p>
      <w:pPr>
        <w:pStyle w:val="ListBullet"/>
      </w:pPr>
      <w:r>
        <w:t>Do not promise refunds, credits, exceptions, or timelines beyond delegated authority.</w:t>
      </w:r>
    </w:p>
    <w:p>
      <w:pPr>
        <w:pStyle w:val="ListBullet"/>
      </w:pPr>
      <w:r>
        <w:t>Keep one accountable case owner even when specialist teams assist.</w:t>
      </w:r>
    </w:p>
    <w:p>
      <w:pPr>
        <w:pStyle w:val="ListBullet"/>
      </w:pPr>
      <w:r>
        <w:t>Document facts separately from assumptions and customer statements.</w:t>
      </w:r>
    </w:p>
    <w:p>
      <w:pPr>
        <w:pStyle w:val="ListBullet"/>
      </w:pPr>
      <w:r>
        <w:t>Use the customer’s preferred available channel for updates and close the loop.</w:t>
      </w:r>
    </w:p>
    <w:p>
      <w:pPr>
        <w:pStyle w:val="Heading1"/>
      </w:pPr>
      <w:r>
        <w:t>4. Roles and decision rights</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Role</w:t>
            </w:r>
          </w:p>
        </w:tc>
        <w:tc>
          <w:tcPr>
            <w:tcW w:type="dxa" w:w="4320"/>
          </w:tcPr>
          <w:p>
            <w:r>
              <w:t>Primary responsibility</w:t>
            </w:r>
          </w:p>
        </w:tc>
      </w:tr>
      <w:tr>
        <w:tc>
          <w:tcPr>
            <w:tcW w:type="dxa" w:w="4320"/>
          </w:tcPr>
          <w:p>
            <w:r>
              <w:t>Frontline agent</w:t>
            </w:r>
          </w:p>
        </w:tc>
        <w:tc>
          <w:tcPr>
            <w:tcW w:type="dxa" w:w="4320"/>
          </w:tcPr>
          <w:p>
            <w:r>
              <w:t>Intake, identity verification, initial troubleshooting, accurate case notes, first response</w:t>
            </w:r>
          </w:p>
        </w:tc>
      </w:tr>
      <w:tr>
        <w:tc>
          <w:tcPr>
            <w:tcW w:type="dxa" w:w="4320"/>
          </w:tcPr>
          <w:p>
            <w:r>
              <w:t>Subject matter expert (SME)</w:t>
            </w:r>
          </w:p>
        </w:tc>
        <w:tc>
          <w:tcPr>
            <w:tcW w:type="dxa" w:w="4320"/>
          </w:tcPr>
          <w:p>
            <w:r>
              <w:t>Advanced investigation, policy interpretation, technical guidance</w:t>
            </w:r>
          </w:p>
        </w:tc>
      </w:tr>
      <w:tr>
        <w:tc>
          <w:tcPr>
            <w:tcW w:type="dxa" w:w="4320"/>
          </w:tcPr>
          <w:p>
            <w:r>
              <w:t>Team leader</w:t>
            </w:r>
          </w:p>
        </w:tc>
        <w:tc>
          <w:tcPr>
            <w:tcW w:type="dxa" w:w="4320"/>
          </w:tcPr>
          <w:p>
            <w:r>
              <w:t>Escalation assessment, customer recovery, coaching and case quality</w:t>
            </w:r>
          </w:p>
        </w:tc>
      </w:tr>
      <w:tr>
        <w:tc>
          <w:tcPr>
            <w:tcW w:type="dxa" w:w="4320"/>
          </w:tcPr>
          <w:p>
            <w:r>
              <w:t>Operations manager</w:t>
            </w:r>
          </w:p>
        </w:tc>
        <w:tc>
          <w:tcPr>
            <w:tcW w:type="dxa" w:w="4320"/>
          </w:tcPr>
          <w:p>
            <w:r>
              <w:t>Cross-functional barriers, exception approvals within authority, trend review</w:t>
            </w:r>
          </w:p>
        </w:tc>
      </w:tr>
      <w:tr>
        <w:tc>
          <w:tcPr>
            <w:tcW w:type="dxa" w:w="4320"/>
          </w:tcPr>
          <w:p>
            <w:r>
              <w:t>Quality analyst</w:t>
            </w:r>
          </w:p>
        </w:tc>
        <w:tc>
          <w:tcPr>
            <w:tcW w:type="dxa" w:w="4320"/>
          </w:tcPr>
          <w:p>
            <w:r>
              <w:t>Review communication, adherence, root-cause patterns and documentation</w:t>
            </w:r>
          </w:p>
        </w:tc>
      </w:tr>
    </w:tbl>
    <w:p>
      <w:pPr>
        <w:pStyle w:val="Heading1"/>
      </w:pPr>
      <w:r>
        <w:t>5. Priority classification and illustrative response targets</w:t>
      </w:r>
    </w:p>
    <w:tbl>
      <w:tblPr>
        <w:tblStyle w:val="LightShading-Accent1"/>
        <w:tblW w:type="auto" w:w="0"/>
        <w:jc w:val="center"/>
        <w:tblLook w:firstColumn="1" w:firstRow="1" w:lastColumn="0" w:lastRow="0" w:noHBand="0" w:noVBand="1" w:val="04A0"/>
      </w:tblPr>
      <w:tblGrid>
        <w:gridCol w:w="2160"/>
        <w:gridCol w:w="2160"/>
        <w:gridCol w:w="2160"/>
        <w:gridCol w:w="2160"/>
      </w:tblGrid>
      <w:tr>
        <w:tc>
          <w:tcPr>
            <w:tcW w:type="dxa" w:w="2160"/>
          </w:tcPr>
          <w:p>
            <w:r>
              <w:t>Priority</w:t>
            </w:r>
          </w:p>
        </w:tc>
        <w:tc>
          <w:tcPr>
            <w:tcW w:type="dxa" w:w="2160"/>
          </w:tcPr>
          <w:p>
            <w:r>
              <w:t>Typical trigger</w:t>
            </w:r>
          </w:p>
        </w:tc>
        <w:tc>
          <w:tcPr>
            <w:tcW w:type="dxa" w:w="2160"/>
          </w:tcPr>
          <w:p>
            <w:r>
              <w:t>Acknowledgment target</w:t>
            </w:r>
          </w:p>
        </w:tc>
        <w:tc>
          <w:tcPr>
            <w:tcW w:type="dxa" w:w="2160"/>
          </w:tcPr>
          <w:p>
            <w:r>
              <w:t>Update cadence</w:t>
            </w:r>
          </w:p>
        </w:tc>
      </w:tr>
      <w:tr>
        <w:tc>
          <w:tcPr>
            <w:tcW w:type="dxa" w:w="2160"/>
          </w:tcPr>
          <w:p>
            <w:r>
              <w:t>P1 Critical</w:t>
            </w:r>
          </w:p>
        </w:tc>
        <w:tc>
          <w:tcPr>
            <w:tcW w:type="dxa" w:w="2160"/>
          </w:tcPr>
          <w:p>
            <w:r>
              <w:t>Widespread outage, significant safety/security concern</w:t>
            </w:r>
          </w:p>
        </w:tc>
        <w:tc>
          <w:tcPr>
            <w:tcW w:type="dxa" w:w="2160"/>
          </w:tcPr>
          <w:p>
            <w:r>
              <w:t>Immediately; route to incident team</w:t>
            </w:r>
          </w:p>
        </w:tc>
        <w:tc>
          <w:tcPr>
            <w:tcW w:type="dxa" w:w="2160"/>
          </w:tcPr>
          <w:p>
            <w:r>
              <w:t>Per incident command</w:t>
            </w:r>
          </w:p>
        </w:tc>
      </w:tr>
      <w:tr>
        <w:tc>
          <w:tcPr>
            <w:tcW w:type="dxa" w:w="2160"/>
          </w:tcPr>
          <w:p>
            <w:r>
              <w:t>P2 High</w:t>
            </w:r>
          </w:p>
        </w:tc>
        <w:tc>
          <w:tcPr>
            <w:tcW w:type="dxa" w:w="2160"/>
          </w:tcPr>
          <w:p>
            <w:r>
              <w:t>Repeated failure, significant financial impact, imminent deadline</w:t>
            </w:r>
          </w:p>
        </w:tc>
        <w:tc>
          <w:tcPr>
            <w:tcW w:type="dxa" w:w="2160"/>
          </w:tcPr>
          <w:p>
            <w:r>
              <w:t>Within 1 business hour</w:t>
            </w:r>
          </w:p>
        </w:tc>
        <w:tc>
          <w:tcPr>
            <w:tcW w:type="dxa" w:w="2160"/>
          </w:tcPr>
          <w:p>
            <w:r>
              <w:t>At least daily</w:t>
            </w:r>
          </w:p>
        </w:tc>
      </w:tr>
      <w:tr>
        <w:tc>
          <w:tcPr>
            <w:tcW w:type="dxa" w:w="2160"/>
          </w:tcPr>
          <w:p>
            <w:r>
              <w:t>P3 Standard</w:t>
            </w:r>
          </w:p>
        </w:tc>
        <w:tc>
          <w:tcPr>
            <w:tcW w:type="dxa" w:w="2160"/>
          </w:tcPr>
          <w:p>
            <w:r>
              <w:t>Single customer service or billing complaint</w:t>
            </w:r>
          </w:p>
        </w:tc>
        <w:tc>
          <w:tcPr>
            <w:tcW w:type="dxa" w:w="2160"/>
          </w:tcPr>
          <w:p>
            <w:r>
              <w:t>Within 1 business day</w:t>
            </w:r>
          </w:p>
        </w:tc>
        <w:tc>
          <w:tcPr>
            <w:tcW w:type="dxa" w:w="2160"/>
          </w:tcPr>
          <w:p>
            <w:r>
              <w:t>Every 2 business days</w:t>
            </w:r>
          </w:p>
        </w:tc>
      </w:tr>
      <w:tr>
        <w:tc>
          <w:tcPr>
            <w:tcW w:type="dxa" w:w="2160"/>
          </w:tcPr>
          <w:p>
            <w:r>
              <w:t>P4 Low</w:t>
            </w:r>
          </w:p>
        </w:tc>
        <w:tc>
          <w:tcPr>
            <w:tcW w:type="dxa" w:w="2160"/>
          </w:tcPr>
          <w:p>
            <w:r>
              <w:t>General dissatisfaction, non-urgent suggestion</w:t>
            </w:r>
          </w:p>
        </w:tc>
        <w:tc>
          <w:tcPr>
            <w:tcW w:type="dxa" w:w="2160"/>
          </w:tcPr>
          <w:p>
            <w:r>
              <w:t>Within 2 business days</w:t>
            </w:r>
          </w:p>
        </w:tc>
        <w:tc>
          <w:tcPr>
            <w:tcW w:type="dxa" w:w="2160"/>
          </w:tcPr>
          <w:p>
            <w:r>
              <w:t>At agreed milestone</w:t>
            </w:r>
          </w:p>
        </w:tc>
      </w:tr>
    </w:tbl>
    <w:p>
      <w:r>
        <w:t>Targets above are example internal standards, not actual historical SLAs. Contractual, regulatory, and accessibility requirements take precedence.</w:t>
      </w:r>
    </w:p>
    <w:p>
      <w:pPr>
        <w:pStyle w:val="Heading1"/>
      </w:pPr>
      <w:r>
        <w:t>6. End-to-end complaint workflow</w:t>
      </w:r>
    </w:p>
    <w:p>
      <w:pPr>
        <w:pStyle w:val="Heading2"/>
      </w:pPr>
      <w:r>
        <w:t>01  Receive and acknowledge</w:t>
      </w:r>
    </w:p>
    <w:p>
      <w:r>
        <w:t>Confirm the concern in neutral language; capture customer impact and desired outcome. Avoid assigning blame.</w:t>
      </w:r>
    </w:p>
    <w:p>
      <w:pPr>
        <w:pStyle w:val="Heading2"/>
      </w:pPr>
      <w:r>
        <w:t>02  Verify and classify</w:t>
      </w:r>
    </w:p>
    <w:p>
      <w:r>
        <w:t>Authenticate as required, check duplicates, assess urgency, and apply the appropriate priority.</w:t>
      </w:r>
    </w:p>
    <w:p>
      <w:pPr>
        <w:pStyle w:val="Heading2"/>
      </w:pPr>
      <w:r>
        <w:t>03  Create or update case</w:t>
      </w:r>
    </w:p>
    <w:p>
      <w:r>
        <w:t>Record case ID, channel, category, owner, timestamp, customer impact, and next action.</w:t>
      </w:r>
    </w:p>
    <w:p>
      <w:pPr>
        <w:pStyle w:val="Heading2"/>
      </w:pPr>
      <w:r>
        <w:t>04  Investigate</w:t>
      </w:r>
    </w:p>
    <w:p>
      <w:r>
        <w:t>Review interaction history, account notes, relevant policies, transactions, recordings or logs when authorized.</w:t>
      </w:r>
    </w:p>
    <w:p>
      <w:pPr>
        <w:pStyle w:val="Heading2"/>
      </w:pPr>
      <w:r>
        <w:t>05  Resolve or escalate</w:t>
      </w:r>
    </w:p>
    <w:p>
      <w:r>
        <w:t>Offer authorized resolution; if blocked, assign specialist action while retaining case ownership.</w:t>
      </w:r>
    </w:p>
    <w:p>
      <w:pPr>
        <w:pStyle w:val="Heading2"/>
      </w:pPr>
      <w:r>
        <w:t>06  Communicate progress</w:t>
      </w:r>
    </w:p>
    <w:p>
      <w:r>
        <w:t>Explain confirmed facts, outstanding steps, and the next update date; never imply completion prematurely.</w:t>
      </w:r>
    </w:p>
    <w:p>
      <w:pPr>
        <w:pStyle w:val="Heading2"/>
      </w:pPr>
      <w:r>
        <w:t>07  Confirm and close</w:t>
      </w:r>
    </w:p>
    <w:p>
      <w:r>
        <w:t>Verify action completion, communicate the outcome, document the resolution and customer response.</w:t>
      </w:r>
    </w:p>
    <w:p>
      <w:pPr>
        <w:pStyle w:val="Heading2"/>
      </w:pPr>
      <w:r>
        <w:t>08  Learn and prevent</w:t>
      </w:r>
    </w:p>
    <w:p>
      <w:r>
        <w:t>Tag root cause, review repeat contacts, and feed recurring issues into QA, training, or SOP updates.</w:t>
      </w:r>
    </w:p>
    <w:p>
      <w:pPr>
        <w:pStyle w:val="Heading1"/>
      </w:pPr>
      <w:r>
        <w:t>7. Escalation decision guide</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Question</w:t>
            </w:r>
          </w:p>
        </w:tc>
        <w:tc>
          <w:tcPr>
            <w:tcW w:type="dxa" w:w="2880"/>
          </w:tcPr>
          <w:p>
            <w:r>
              <w:t>If yes</w:t>
            </w:r>
          </w:p>
        </w:tc>
        <w:tc>
          <w:tcPr>
            <w:tcW w:type="dxa" w:w="2880"/>
          </w:tcPr>
          <w:p>
            <w:r>
              <w:t>If no</w:t>
            </w:r>
          </w:p>
        </w:tc>
      </w:tr>
      <w:tr>
        <w:tc>
          <w:tcPr>
            <w:tcW w:type="dxa" w:w="2880"/>
          </w:tcPr>
          <w:p>
            <w:r>
              <w:t>Is there immediate safety, security, or major service risk?</w:t>
            </w:r>
          </w:p>
        </w:tc>
        <w:tc>
          <w:tcPr>
            <w:tcW w:type="dxa" w:w="2880"/>
          </w:tcPr>
          <w:p>
            <w:r>
              <w:t>Activate critical incident path; notify authorized leaders</w:t>
            </w:r>
          </w:p>
        </w:tc>
        <w:tc>
          <w:tcPr>
            <w:tcW w:type="dxa" w:w="2880"/>
          </w:tcPr>
          <w:p>
            <w:r>
              <w:t>Continue triage</w:t>
            </w:r>
          </w:p>
        </w:tc>
      </w:tr>
      <w:tr>
        <w:tc>
          <w:tcPr>
            <w:tcW w:type="dxa" w:w="2880"/>
          </w:tcPr>
          <w:p>
            <w:r>
              <w:t>Can the agent resolve within policy and authority?</w:t>
            </w:r>
          </w:p>
        </w:tc>
        <w:tc>
          <w:tcPr>
            <w:tcW w:type="dxa" w:w="2880"/>
          </w:tcPr>
          <w:p>
            <w:r>
              <w:t>Complete resolution and document evidence</w:t>
            </w:r>
          </w:p>
        </w:tc>
        <w:tc>
          <w:tcPr>
            <w:tcW w:type="dxa" w:w="2880"/>
          </w:tcPr>
          <w:p>
            <w:r>
              <w:t>Consult SME or team leader</w:t>
            </w:r>
          </w:p>
        </w:tc>
      </w:tr>
      <w:tr>
        <w:tc>
          <w:tcPr>
            <w:tcW w:type="dxa" w:w="2880"/>
          </w:tcPr>
          <w:p>
            <w:r>
              <w:t>Does the issue require another department or approval?</w:t>
            </w:r>
          </w:p>
        </w:tc>
        <w:tc>
          <w:tcPr>
            <w:tcW w:type="dxa" w:w="2880"/>
          </w:tcPr>
          <w:p>
            <w:r>
              <w:t>Assign action and due time; keep customer-facing owner</w:t>
            </w:r>
          </w:p>
        </w:tc>
        <w:tc>
          <w:tcPr>
            <w:tcW w:type="dxa" w:w="2880"/>
          </w:tcPr>
          <w:p>
            <w:r>
              <w:t>Continue investigation</w:t>
            </w:r>
          </w:p>
        </w:tc>
      </w:tr>
      <w:tr>
        <w:tc>
          <w:tcPr>
            <w:tcW w:type="dxa" w:w="2880"/>
          </w:tcPr>
          <w:p>
            <w:r>
              <w:t>Has the promised update or resolution deadline been missed?</w:t>
            </w:r>
          </w:p>
        </w:tc>
        <w:tc>
          <w:tcPr>
            <w:tcW w:type="dxa" w:w="2880"/>
          </w:tcPr>
          <w:p>
            <w:r>
              <w:t>Notify team leader; proactively update customer</w:t>
            </w:r>
          </w:p>
        </w:tc>
        <w:tc>
          <w:tcPr>
            <w:tcW w:type="dxa" w:w="2880"/>
          </w:tcPr>
          <w:p>
            <w:r>
              <w:t>Maintain scheduled follow-up</w:t>
            </w:r>
          </w:p>
        </w:tc>
      </w:tr>
    </w:tbl>
    <w:p>
      <w:pPr>
        <w:pStyle w:val="Heading1"/>
      </w:pPr>
      <w:r>
        <w:t>8. Case documentation standard</w:t>
      </w:r>
    </w:p>
    <w:p>
      <w:pPr>
        <w:pStyle w:val="ListBullet"/>
      </w:pPr>
      <w:r>
        <w:t>Case ID, timestamps, contact channel, verification completed (without storing secrets).</w:t>
      </w:r>
    </w:p>
    <w:p>
      <w:pPr>
        <w:pStyle w:val="ListBullet"/>
      </w:pPr>
      <w:r>
        <w:t>Customer’s issue and impact in the customer’s own words where useful.</w:t>
      </w:r>
    </w:p>
    <w:p>
      <w:pPr>
        <w:pStyle w:val="ListBullet"/>
      </w:pPr>
      <w:r>
        <w:t>Relevant evidence: account history, transaction references, applicable policy, troubleshooting performed.</w:t>
      </w:r>
    </w:p>
    <w:p>
      <w:pPr>
        <w:pStyle w:val="ListBullet"/>
      </w:pPr>
      <w:r>
        <w:t>Actions attempted, results, responsible teams, approvals, and outstanding dependencies.</w:t>
      </w:r>
    </w:p>
    <w:p>
      <w:pPr>
        <w:pStyle w:val="ListBullet"/>
      </w:pPr>
      <w:r>
        <w:t>Priority, assigned owner, next follow-up date, promised customer update, final outcome.</w:t>
      </w:r>
    </w:p>
    <w:p>
      <w:pPr>
        <w:pStyle w:val="ListBullet"/>
      </w:pPr>
      <w:r>
        <w:t>Root-cause tag and whether repeat contact or coaching review is required.</w:t>
      </w:r>
    </w:p>
    <w:p>
      <w:pPr>
        <w:pStyle w:val="Heading1"/>
      </w:pPr>
      <w:r>
        <w:t>9. Communication examples</w:t>
      </w:r>
    </w:p>
    <w:p>
      <w:pPr>
        <w:pStyle w:val="Heading2"/>
      </w:pPr>
      <w:r>
        <w:t>Acknowledgment</w:t>
      </w:r>
    </w:p>
    <w:p>
      <w:r>
        <w:t>“Thank you for explaining what happened. I understand the impact this has had. I’ll review the account history and the available options, then update you by [time/date].”</w:t>
      </w:r>
    </w:p>
    <w:p>
      <w:pPr>
        <w:pStyle w:val="Heading2"/>
      </w:pPr>
      <w:r>
        <w:t>Pending investigation</w:t>
      </w:r>
    </w:p>
    <w:p>
      <w:r>
        <w:t>“I’m still working with our specialist team on this. The next step is [specific action]. I’ll contact you again by [time/date], even if the investigation is still open.”</w:t>
      </w:r>
    </w:p>
    <w:p>
      <w:pPr>
        <w:pStyle w:val="Heading2"/>
      </w:pPr>
      <w:r>
        <w:t>Resolution and closure</w:t>
      </w:r>
    </w:p>
    <w:p>
      <w:r>
        <w:t>“We completed [confirmed action] on [date]. Here is what that means for your account: [clear explanation]. Please let us know if anything remains unresolved.”</w:t>
      </w:r>
    </w:p>
    <w:p>
      <w:pPr>
        <w:pStyle w:val="Heading1"/>
      </w:pPr>
      <w:r>
        <w:t>10. Quality assurance and governance</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Control</w:t>
            </w:r>
          </w:p>
        </w:tc>
        <w:tc>
          <w:tcPr>
            <w:tcW w:type="dxa" w:w="4320"/>
          </w:tcPr>
          <w:p>
            <w:r>
              <w:t>Review method</w:t>
            </w:r>
          </w:p>
        </w:tc>
      </w:tr>
      <w:tr>
        <w:tc>
          <w:tcPr>
            <w:tcW w:type="dxa" w:w="4320"/>
          </w:tcPr>
          <w:p>
            <w:r>
              <w:t>Ownership</w:t>
            </w:r>
          </w:p>
        </w:tc>
        <w:tc>
          <w:tcPr>
            <w:tcW w:type="dxa" w:w="4320"/>
          </w:tcPr>
          <w:p>
            <w:r>
              <w:t>Daily check for unassigned or stale open cases</w:t>
            </w:r>
          </w:p>
        </w:tc>
      </w:tr>
      <w:tr>
        <w:tc>
          <w:tcPr>
            <w:tcW w:type="dxa" w:w="4320"/>
          </w:tcPr>
          <w:p>
            <w:r>
              <w:t>Timeliness</w:t>
            </w:r>
          </w:p>
        </w:tc>
        <w:tc>
          <w:tcPr>
            <w:tcW w:type="dxa" w:w="4320"/>
          </w:tcPr>
          <w:p>
            <w:r>
              <w:t>Review missed acknowledgment and update commitments</w:t>
            </w:r>
          </w:p>
        </w:tc>
      </w:tr>
      <w:tr>
        <w:tc>
          <w:tcPr>
            <w:tcW w:type="dxa" w:w="4320"/>
          </w:tcPr>
          <w:p>
            <w:r>
              <w:t>Accuracy</w:t>
            </w:r>
          </w:p>
        </w:tc>
        <w:tc>
          <w:tcPr>
            <w:tcW w:type="dxa" w:w="4320"/>
          </w:tcPr>
          <w:p>
            <w:r>
              <w:t>Sample cases for factual notes, correct policy, and approved exceptions</w:t>
            </w:r>
          </w:p>
        </w:tc>
      </w:tr>
      <w:tr>
        <w:tc>
          <w:tcPr>
            <w:tcW w:type="dxa" w:w="4320"/>
          </w:tcPr>
          <w:p>
            <w:r>
              <w:t>Customer experience</w:t>
            </w:r>
          </w:p>
        </w:tc>
        <w:tc>
          <w:tcPr>
            <w:tcW w:type="dxa" w:w="4320"/>
          </w:tcPr>
          <w:p>
            <w:r>
              <w:t>Assess empathy, clarity, expectation setting, and closure</w:t>
            </w:r>
          </w:p>
        </w:tc>
      </w:tr>
      <w:tr>
        <w:tc>
          <w:tcPr>
            <w:tcW w:type="dxa" w:w="4320"/>
          </w:tcPr>
          <w:p>
            <w:r>
              <w:t>Prevention</w:t>
            </w:r>
          </w:p>
        </w:tc>
        <w:tc>
          <w:tcPr>
            <w:tcW w:type="dxa" w:w="4320"/>
          </w:tcPr>
          <w:p>
            <w:r>
              <w:t>Weekly themes review; assign actions to process owner</w:t>
            </w:r>
          </w:p>
        </w:tc>
      </w:tr>
    </w:tbl>
    <w:p>
      <w:pPr>
        <w:pStyle w:val="Heading1"/>
      </w:pPr>
      <w:r>
        <w:t>11. Example fictional case study</w:t>
      </w:r>
    </w:p>
    <w:p>
      <w:r>
        <w:t>Scenario: A customer reports being quoted a promotional rate but later billed the standard amount. They have already contacted support twice.</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Stage</w:t>
            </w:r>
          </w:p>
        </w:tc>
        <w:tc>
          <w:tcPr>
            <w:tcW w:type="dxa" w:w="4320"/>
          </w:tcPr>
          <w:p>
            <w:r>
              <w:t>Illustrative action</w:t>
            </w:r>
          </w:p>
        </w:tc>
      </w:tr>
      <w:tr>
        <w:tc>
          <w:tcPr>
            <w:tcW w:type="dxa" w:w="4320"/>
          </w:tcPr>
          <w:p>
            <w:r>
              <w:t>Intake</w:t>
            </w:r>
          </w:p>
        </w:tc>
        <w:tc>
          <w:tcPr>
            <w:tcW w:type="dxa" w:w="4320"/>
          </w:tcPr>
          <w:p>
            <w:r>
              <w:t>Verify identity; acknowledge repeated contacts; classify as high priority if material impact</w:t>
            </w:r>
          </w:p>
        </w:tc>
      </w:tr>
      <w:tr>
        <w:tc>
          <w:tcPr>
            <w:tcW w:type="dxa" w:w="4320"/>
          </w:tcPr>
          <w:p>
            <w:r>
              <w:t>Investigation</w:t>
            </w:r>
          </w:p>
        </w:tc>
        <w:tc>
          <w:tcPr>
            <w:tcW w:type="dxa" w:w="4320"/>
          </w:tcPr>
          <w:p>
            <w:r>
              <w:t>Compare approved promotion terms, original order notes, available call records, and transaction history</w:t>
            </w:r>
          </w:p>
        </w:tc>
      </w:tr>
      <w:tr>
        <w:tc>
          <w:tcPr>
            <w:tcW w:type="dxa" w:w="4320"/>
          </w:tcPr>
          <w:p>
            <w:r>
              <w:t>Decision</w:t>
            </w:r>
          </w:p>
        </w:tc>
        <w:tc>
          <w:tcPr>
            <w:tcW w:type="dxa" w:w="4320"/>
          </w:tcPr>
          <w:p>
            <w:r>
              <w:t>Check whether a billing correction is supported; seek authorized approval if needed</w:t>
            </w:r>
          </w:p>
        </w:tc>
      </w:tr>
      <w:tr>
        <w:tc>
          <w:tcPr>
            <w:tcW w:type="dxa" w:w="4320"/>
          </w:tcPr>
          <w:p>
            <w:r>
              <w:t>Customer update</w:t>
            </w:r>
          </w:p>
        </w:tc>
        <w:tc>
          <w:tcPr>
            <w:tcW w:type="dxa" w:w="4320"/>
          </w:tcPr>
          <w:p>
            <w:r>
              <w:t>Explain verified findings and next step without guaranteeing an unapproved refund</w:t>
            </w:r>
          </w:p>
        </w:tc>
      </w:tr>
      <w:tr>
        <w:tc>
          <w:tcPr>
            <w:tcW w:type="dxa" w:w="4320"/>
          </w:tcPr>
          <w:p>
            <w:r>
              <w:t>Closure</w:t>
            </w:r>
          </w:p>
        </w:tc>
        <w:tc>
          <w:tcPr>
            <w:tcW w:type="dxa" w:w="4320"/>
          </w:tcPr>
          <w:p>
            <w:r>
              <w:t>Confirm any approved correction posted; record evidence and follow-up</w:t>
            </w:r>
          </w:p>
        </w:tc>
      </w:tr>
      <w:tr>
        <w:tc>
          <w:tcPr>
            <w:tcW w:type="dxa" w:w="4320"/>
          </w:tcPr>
          <w:p>
            <w:r>
              <w:t>Prevention</w:t>
            </w:r>
          </w:p>
        </w:tc>
        <w:tc>
          <w:tcPr>
            <w:tcW w:type="dxa" w:w="4320"/>
          </w:tcPr>
          <w:p>
            <w:r>
              <w:t>Flag misleading or inconsistent offer language for QA and training review</w:t>
            </w:r>
          </w:p>
        </w:tc>
      </w:tr>
    </w:tbl>
    <w:p>
      <w:pPr>
        <w:pStyle w:val="Heading1"/>
      </w:pPr>
      <w:r>
        <w:t>12. 30-day continuous improvement loop</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Week</w:t>
            </w:r>
          </w:p>
        </w:tc>
        <w:tc>
          <w:tcPr>
            <w:tcW w:type="dxa" w:w="4320"/>
          </w:tcPr>
          <w:p>
            <w:r>
              <w:t>Management activity</w:t>
            </w:r>
          </w:p>
        </w:tc>
      </w:tr>
      <w:tr>
        <w:tc>
          <w:tcPr>
            <w:tcW w:type="dxa" w:w="4320"/>
          </w:tcPr>
          <w:p>
            <w:r>
              <w:t>Week 1</w:t>
            </w:r>
          </w:p>
        </w:tc>
        <w:tc>
          <w:tcPr>
            <w:tcW w:type="dxa" w:w="4320"/>
          </w:tcPr>
          <w:p>
            <w:r>
              <w:t>Baseline repeat contacts, aging cases, top complaint drivers, and documentation defects</w:t>
            </w:r>
          </w:p>
        </w:tc>
      </w:tr>
      <w:tr>
        <w:tc>
          <w:tcPr>
            <w:tcW w:type="dxa" w:w="4320"/>
          </w:tcPr>
          <w:p>
            <w:r>
              <w:t>Week 2</w:t>
            </w:r>
          </w:p>
        </w:tc>
        <w:tc>
          <w:tcPr>
            <w:tcW w:type="dxa" w:w="4320"/>
          </w:tcPr>
          <w:p>
            <w:r>
              <w:t>Review root causes with team leaders and SMEs; implement targeted coaching</w:t>
            </w:r>
          </w:p>
        </w:tc>
      </w:tr>
      <w:tr>
        <w:tc>
          <w:tcPr>
            <w:tcW w:type="dxa" w:w="4320"/>
          </w:tcPr>
          <w:p>
            <w:r>
              <w:t>Week 3</w:t>
            </w:r>
          </w:p>
        </w:tc>
        <w:tc>
          <w:tcPr>
            <w:tcW w:type="dxa" w:w="4320"/>
          </w:tcPr>
          <w:p>
            <w:r>
              <w:t>Audit sampled cases and adjust knowledge articles or handoff procedures</w:t>
            </w:r>
          </w:p>
        </w:tc>
      </w:tr>
      <w:tr>
        <w:tc>
          <w:tcPr>
            <w:tcW w:type="dxa" w:w="4320"/>
          </w:tcPr>
          <w:p>
            <w:r>
              <w:t>Week 4</w:t>
            </w:r>
          </w:p>
        </w:tc>
        <w:tc>
          <w:tcPr>
            <w:tcW w:type="dxa" w:w="4320"/>
          </w:tcPr>
          <w:p>
            <w:r>
              <w:t>Compare baseline to follow-up metrics; document wins, open risks, and next actions</w:t>
            </w:r>
          </w:p>
        </w:tc>
      </w:tr>
    </w:tbl>
    <w:p>
      <w:pPr>
        <w:pStyle w:val="Heading1"/>
      </w:pPr>
      <w:r>
        <w:t>13. Metrics to monitor</w:t>
      </w:r>
    </w:p>
    <w:p>
      <w:pPr>
        <w:pStyle w:val="ListBullet"/>
      </w:pPr>
      <w:r>
        <w:t>First response compliance and customer update compliance</w:t>
      </w:r>
    </w:p>
    <w:p>
      <w:pPr>
        <w:pStyle w:val="ListBullet"/>
      </w:pPr>
      <w:r>
        <w:t>Open-case aging and overdue escalations</w:t>
      </w:r>
    </w:p>
    <w:p>
      <w:pPr>
        <w:pStyle w:val="ListBullet"/>
      </w:pPr>
      <w:r>
        <w:t>Repeat contact rate and reopened case rate</w:t>
      </w:r>
    </w:p>
    <w:p>
      <w:pPr>
        <w:pStyle w:val="ListBullet"/>
      </w:pPr>
      <w:r>
        <w:t>Resolution time by category and priority</w:t>
      </w:r>
    </w:p>
    <w:p>
      <w:pPr>
        <w:pStyle w:val="ListBullet"/>
      </w:pPr>
      <w:r>
        <w:t>QA documentation adherence and customer satisfaction</w:t>
      </w:r>
    </w:p>
    <w:p>
      <w:pPr>
        <w:pStyle w:val="ListBullet"/>
      </w:pPr>
      <w:r>
        <w:t>Root-cause themes and corrective-action completion</w:t>
      </w:r>
    </w:p>
    <w:p>
      <w:pPr>
        <w:pStyle w:val="Heading1"/>
      </w:pPr>
      <w:r>
        <w:t>14. Implementation checklist</w:t>
      </w:r>
    </w:p>
    <w:p>
      <w:pPr>
        <w:pStyle w:val="ListBullet"/>
      </w:pPr>
      <w:r>
        <w:t>Confirm policy owner and escalation authority matrix.</w:t>
      </w:r>
    </w:p>
    <w:p>
      <w:pPr>
        <w:pStyle w:val="ListBullet"/>
      </w:pPr>
      <w:r>
        <w:t>Replace example response targets with approved service levels.</w:t>
      </w:r>
    </w:p>
    <w:p>
      <w:pPr>
        <w:pStyle w:val="ListBullet"/>
      </w:pPr>
      <w:r>
        <w:t>Configure CRM case fields, priority tags, and reminders.</w:t>
      </w:r>
    </w:p>
    <w:p>
      <w:pPr>
        <w:pStyle w:val="ListBullet"/>
      </w:pPr>
      <w:r>
        <w:t>Train agents, SMEs, and team leaders using sample cases.</w:t>
      </w:r>
    </w:p>
    <w:p>
      <w:pPr>
        <w:pStyle w:val="ListBullet"/>
      </w:pPr>
      <w:r>
        <w:t>Run a two-week pilot, inspect exceptions, and revise the SOP.</w:t>
      </w:r>
    </w:p>
    <w:p>
      <w:pPr>
        <w:pStyle w:val="ListBullet"/>
      </w:pPr>
      <w:r>
        <w:t>Approve version, publish to the knowledge base, and schedule reviews.</w:t>
      </w:r>
    </w:p>
    <w:p>
      <w:r>
        <w:t>PORTFOLIO DISCLOSURE: This document is an original illustrative work sample based on general customer support operations practices and relevant professional experience. It does not reproduce any employer’s confidential SOP or claim historical business outcomes.</w:t>
      </w:r>
    </w:p>
    <w:sectPr w:rsidR="00FC693F" w:rsidRPr="0006063C" w:rsidSect="00034616">
      <w:headerReference w:type="default" r:id="rId9"/>
      <w:footerReference w:type="default" r:id="rId10"/>
      <w:pgSz w:w="12240" w:h="15840"/>
      <w:pgMar w:top="1152" w:right="1800" w:bottom="1008" w:left="180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FICTIONAL DEMONSTRATION  •  No real customer or employer data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NEIL FRAN GELANTAGA-AN  /  PORTFOLIO WORK SAMPLE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304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8304C"/>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8304C"/>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